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58" w:rsidRPr="00510AD6" w:rsidRDefault="000A7658" w:rsidP="000A7658">
      <w:pPr>
        <w:shd w:val="clear" w:color="auto" w:fill="FFFFFF"/>
        <w:spacing w:after="300" w:line="593" w:lineRule="atLeast"/>
        <w:outlineLvl w:val="0"/>
        <w:rPr>
          <w:rFonts w:ascii="Times New Roman" w:eastAsia="Times New Roman" w:hAnsi="Times New Roman" w:cs="Times New Roman"/>
          <w:color w:val="000000"/>
          <w:kern w:val="36"/>
          <w:sz w:val="24"/>
          <w:szCs w:val="24"/>
          <w:lang w:val="en-GB" w:eastAsia="sk-SK"/>
        </w:rPr>
      </w:pPr>
      <w:r w:rsidRPr="00510AD6">
        <w:rPr>
          <w:rFonts w:ascii="Times New Roman" w:eastAsia="Times New Roman" w:hAnsi="Times New Roman" w:cs="Times New Roman"/>
          <w:color w:val="000000"/>
          <w:kern w:val="36"/>
          <w:sz w:val="24"/>
          <w:szCs w:val="24"/>
          <w:lang w:val="en-GB" w:eastAsia="sk-SK"/>
        </w:rPr>
        <w:t>Summary of the 1st Call for Small project proposals</w:t>
      </w:r>
    </w:p>
    <w:p w:rsidR="000A7658" w:rsidRPr="00510AD6" w:rsidRDefault="000A7658" w:rsidP="000A7658">
      <w:pPr>
        <w:shd w:val="clear" w:color="auto" w:fill="FFFFFF"/>
        <w:spacing w:after="150" w:line="240" w:lineRule="auto"/>
        <w:rPr>
          <w:rFonts w:ascii="Times New Roman" w:eastAsia="Times New Roman" w:hAnsi="Times New Roman" w:cs="Times New Roman"/>
          <w:color w:val="000000"/>
          <w:sz w:val="24"/>
          <w:szCs w:val="24"/>
          <w:lang w:val="en-GB" w:eastAsia="sk-SK"/>
        </w:rPr>
      </w:pPr>
      <w:r w:rsidRPr="00510AD6">
        <w:rPr>
          <w:rFonts w:ascii="Times New Roman" w:eastAsia="Times New Roman" w:hAnsi="Times New Roman" w:cs="Times New Roman"/>
          <w:color w:val="272727"/>
          <w:sz w:val="24"/>
          <w:szCs w:val="24"/>
          <w:lang w:val="en-GB" w:eastAsia="sk-SK"/>
        </w:rPr>
        <w:t xml:space="preserve">The 1st Call for Small project proposals in the frame of the </w:t>
      </w:r>
      <w:proofErr w:type="spellStart"/>
      <w:r w:rsidRPr="00510AD6">
        <w:rPr>
          <w:rFonts w:ascii="Times New Roman" w:eastAsia="Times New Roman" w:hAnsi="Times New Roman" w:cs="Times New Roman"/>
          <w:color w:val="272727"/>
          <w:sz w:val="24"/>
          <w:szCs w:val="24"/>
          <w:lang w:val="en-GB" w:eastAsia="sk-SK"/>
        </w:rPr>
        <w:t>Interreg</w:t>
      </w:r>
      <w:proofErr w:type="spellEnd"/>
      <w:r w:rsidRPr="00510AD6">
        <w:rPr>
          <w:rFonts w:ascii="Times New Roman" w:eastAsia="Times New Roman" w:hAnsi="Times New Roman" w:cs="Times New Roman"/>
          <w:color w:val="272727"/>
          <w:sz w:val="24"/>
          <w:szCs w:val="24"/>
          <w:lang w:val="en-GB" w:eastAsia="sk-SK"/>
        </w:rPr>
        <w:t xml:space="preserve"> V-A SK-HU Cooperation Programme was a pilot call with limited duration. The applicants had a possibility to submit projects within two priority axis:</w:t>
      </w:r>
    </w:p>
    <w:p w:rsidR="000A7658" w:rsidRPr="00510AD6" w:rsidRDefault="000A7658" w:rsidP="000A7658">
      <w:pPr>
        <w:numPr>
          <w:ilvl w:val="0"/>
          <w:numId w:val="1"/>
        </w:numPr>
        <w:spacing w:before="100" w:beforeAutospacing="1" w:after="100" w:afterAutospacing="1" w:line="240" w:lineRule="auto"/>
        <w:ind w:left="75"/>
        <w:rPr>
          <w:rFonts w:ascii="Times New Roman" w:eastAsia="Times New Roman" w:hAnsi="Times New Roman" w:cs="Times New Roman"/>
          <w:color w:val="272727"/>
          <w:sz w:val="24"/>
          <w:szCs w:val="24"/>
          <w:lang w:val="en-GB" w:eastAsia="sk-SK"/>
        </w:rPr>
      </w:pPr>
      <w:r w:rsidRPr="00510AD6">
        <w:rPr>
          <w:rFonts w:ascii="Times New Roman" w:eastAsia="Times New Roman" w:hAnsi="Times New Roman" w:cs="Times New Roman"/>
          <w:color w:val="272727"/>
          <w:sz w:val="24"/>
          <w:szCs w:val="24"/>
          <w:lang w:val="en-GB" w:eastAsia="sk-SK"/>
        </w:rPr>
        <w:t>PA1 - Nature and Culture</w:t>
      </w:r>
    </w:p>
    <w:p w:rsidR="000A7658" w:rsidRPr="00510AD6" w:rsidRDefault="000A7658" w:rsidP="000A7658">
      <w:pPr>
        <w:numPr>
          <w:ilvl w:val="0"/>
          <w:numId w:val="1"/>
        </w:numPr>
        <w:spacing w:before="100" w:beforeAutospacing="1" w:after="100" w:afterAutospacing="1" w:line="240" w:lineRule="auto"/>
        <w:ind w:left="75"/>
        <w:rPr>
          <w:rFonts w:ascii="Times New Roman" w:eastAsia="Times New Roman" w:hAnsi="Times New Roman" w:cs="Times New Roman"/>
          <w:color w:val="272727"/>
          <w:sz w:val="24"/>
          <w:szCs w:val="24"/>
          <w:lang w:val="en-GB" w:eastAsia="sk-SK"/>
        </w:rPr>
      </w:pPr>
      <w:r w:rsidRPr="00510AD6">
        <w:rPr>
          <w:rFonts w:ascii="Times New Roman" w:eastAsia="Times New Roman" w:hAnsi="Times New Roman" w:cs="Times New Roman"/>
          <w:color w:val="272727"/>
          <w:sz w:val="24"/>
          <w:szCs w:val="24"/>
          <w:lang w:val="en-GB" w:eastAsia="sk-SK"/>
        </w:rPr>
        <w:t>PA4 - Enhancing cross-border cooperation of public authorities and people living in the border area</w:t>
      </w:r>
    </w:p>
    <w:p w:rsidR="000A7658" w:rsidRPr="00510AD6" w:rsidRDefault="000A7658" w:rsidP="000A7658">
      <w:pPr>
        <w:spacing w:after="150" w:line="240" w:lineRule="auto"/>
        <w:jc w:val="both"/>
        <w:rPr>
          <w:rFonts w:ascii="Times New Roman" w:eastAsia="Times New Roman" w:hAnsi="Times New Roman" w:cs="Times New Roman"/>
          <w:color w:val="272727"/>
          <w:sz w:val="24"/>
          <w:szCs w:val="24"/>
          <w:lang w:val="en-GB" w:eastAsia="sk-SK"/>
        </w:rPr>
      </w:pPr>
      <w:r w:rsidRPr="00510AD6">
        <w:rPr>
          <w:rFonts w:ascii="Times New Roman" w:eastAsia="Times New Roman" w:hAnsi="Times New Roman" w:cs="Times New Roman"/>
          <w:b/>
          <w:bCs/>
          <w:color w:val="272727"/>
          <w:sz w:val="24"/>
          <w:szCs w:val="24"/>
          <w:lang w:val="en-GB" w:eastAsia="sk-SK"/>
        </w:rPr>
        <w:t>Info days</w:t>
      </w:r>
    </w:p>
    <w:p w:rsidR="000A7658" w:rsidRPr="00510AD6" w:rsidRDefault="000A7658" w:rsidP="000A7658">
      <w:pPr>
        <w:spacing w:after="150" w:line="240" w:lineRule="auto"/>
        <w:jc w:val="both"/>
        <w:rPr>
          <w:rFonts w:ascii="Times New Roman" w:eastAsia="Times New Roman" w:hAnsi="Times New Roman" w:cs="Times New Roman"/>
          <w:color w:val="272727"/>
          <w:sz w:val="24"/>
          <w:szCs w:val="24"/>
          <w:lang w:val="en-GB" w:eastAsia="sk-SK"/>
        </w:rPr>
      </w:pPr>
      <w:r w:rsidRPr="00510AD6">
        <w:rPr>
          <w:rFonts w:ascii="Times New Roman" w:eastAsia="Times New Roman" w:hAnsi="Times New Roman" w:cs="Times New Roman"/>
          <w:color w:val="272727"/>
          <w:sz w:val="24"/>
          <w:szCs w:val="24"/>
          <w:lang w:val="en-GB" w:eastAsia="sk-SK"/>
        </w:rPr>
        <w:t xml:space="preserve">During the call for proposal the </w:t>
      </w:r>
      <w:proofErr w:type="spellStart"/>
      <w:r w:rsidRPr="00510AD6">
        <w:rPr>
          <w:rFonts w:ascii="Times New Roman" w:eastAsia="Times New Roman" w:hAnsi="Times New Roman" w:cs="Times New Roman"/>
          <w:color w:val="272727"/>
          <w:sz w:val="24"/>
          <w:szCs w:val="24"/>
          <w:lang w:val="en-GB" w:eastAsia="sk-SK"/>
        </w:rPr>
        <w:t>Rába-Duna-Vág</w:t>
      </w:r>
      <w:proofErr w:type="spellEnd"/>
      <w:r w:rsidRPr="00510AD6">
        <w:rPr>
          <w:rFonts w:ascii="Times New Roman" w:eastAsia="Times New Roman" w:hAnsi="Times New Roman" w:cs="Times New Roman"/>
          <w:color w:val="272727"/>
          <w:sz w:val="24"/>
          <w:szCs w:val="24"/>
          <w:lang w:val="en-GB" w:eastAsia="sk-SK"/>
        </w:rPr>
        <w:t xml:space="preserve"> EGTC organized 6 info days, in all six counties of the Eastern programming area. The total number of participants was </w:t>
      </w:r>
      <w:r w:rsidRPr="00510AD6">
        <w:rPr>
          <w:rFonts w:ascii="Times New Roman" w:eastAsia="Times New Roman" w:hAnsi="Times New Roman" w:cs="Times New Roman"/>
          <w:color w:val="000000"/>
          <w:sz w:val="24"/>
          <w:szCs w:val="24"/>
          <w:lang w:val="en-GB" w:eastAsia="sk-SK"/>
        </w:rPr>
        <w:t>235</w:t>
      </w:r>
      <w:r w:rsidRPr="00510AD6">
        <w:rPr>
          <w:rFonts w:ascii="Times New Roman" w:eastAsia="Times New Roman" w:hAnsi="Times New Roman" w:cs="Times New Roman"/>
          <w:color w:val="272727"/>
          <w:sz w:val="24"/>
          <w:szCs w:val="24"/>
          <w:lang w:val="en-GB" w:eastAsia="sk-SK"/>
        </w:rPr>
        <w:t>.</w:t>
      </w:r>
    </w:p>
    <w:p w:rsidR="000A7658" w:rsidRPr="00510AD6" w:rsidRDefault="000A7658" w:rsidP="000A7658">
      <w:pPr>
        <w:spacing w:after="150" w:line="240" w:lineRule="auto"/>
        <w:jc w:val="both"/>
        <w:rPr>
          <w:rFonts w:ascii="Times New Roman" w:eastAsia="Times New Roman" w:hAnsi="Times New Roman" w:cs="Times New Roman"/>
          <w:color w:val="272727"/>
          <w:sz w:val="24"/>
          <w:szCs w:val="24"/>
          <w:lang w:val="en-GB" w:eastAsia="sk-SK"/>
        </w:rPr>
      </w:pPr>
      <w:r w:rsidRPr="00510AD6">
        <w:rPr>
          <w:rFonts w:ascii="Times New Roman" w:eastAsia="Times New Roman" w:hAnsi="Times New Roman" w:cs="Times New Roman"/>
          <w:color w:val="272727"/>
          <w:sz w:val="24"/>
          <w:szCs w:val="24"/>
          <w:lang w:val="en-GB" w:eastAsia="sk-SK"/>
        </w:rPr>
        <w:t xml:space="preserve">The graph shows the number of participants in each </w:t>
      </w:r>
      <w:proofErr w:type="gramStart"/>
      <w:r w:rsidRPr="00510AD6">
        <w:rPr>
          <w:rFonts w:ascii="Times New Roman" w:eastAsia="Times New Roman" w:hAnsi="Times New Roman" w:cs="Times New Roman"/>
          <w:color w:val="272727"/>
          <w:sz w:val="24"/>
          <w:szCs w:val="24"/>
          <w:lang w:val="en-GB" w:eastAsia="sk-SK"/>
        </w:rPr>
        <w:t>counties</w:t>
      </w:r>
      <w:proofErr w:type="gramEnd"/>
      <w:r w:rsidRPr="00510AD6">
        <w:rPr>
          <w:rFonts w:ascii="Times New Roman" w:eastAsia="Times New Roman" w:hAnsi="Times New Roman" w:cs="Times New Roman"/>
          <w:color w:val="272727"/>
          <w:sz w:val="24"/>
          <w:szCs w:val="24"/>
          <w:lang w:val="en-GB" w:eastAsia="sk-SK"/>
        </w:rPr>
        <w:t>:</w:t>
      </w:r>
    </w:p>
    <w:p w:rsidR="000D1A26" w:rsidRPr="00510AD6" w:rsidRDefault="000D1A26" w:rsidP="000D1A26">
      <w:pPr>
        <w:shd w:val="clear" w:color="auto" w:fill="FFFFFF"/>
        <w:spacing w:after="150" w:line="240" w:lineRule="auto"/>
        <w:rPr>
          <w:rFonts w:ascii="Times New Roman" w:eastAsia="Times New Roman" w:hAnsi="Times New Roman" w:cs="Times New Roman"/>
          <w:color w:val="000000"/>
          <w:sz w:val="24"/>
          <w:szCs w:val="24"/>
          <w:lang w:val="en-GB" w:eastAsia="sk-SK"/>
        </w:rPr>
      </w:pPr>
      <w:r w:rsidRPr="00510AD6">
        <w:rPr>
          <w:rFonts w:ascii="Times New Roman" w:eastAsia="Times New Roman" w:hAnsi="Times New Roman" w:cs="Times New Roman"/>
          <w:color w:val="000000"/>
          <w:sz w:val="24"/>
          <w:szCs w:val="24"/>
          <w:lang w:val="en-GB" w:eastAsia="sk-SK"/>
        </w:rPr>
        <w:lastRenderedPageBreak/>
        <w:t>                                                       </w:t>
      </w:r>
      <w:r w:rsidRPr="00510AD6">
        <w:rPr>
          <w:rFonts w:ascii="Times New Roman" w:eastAsia="Times New Roman" w:hAnsi="Times New Roman" w:cs="Times New Roman"/>
          <w:noProof/>
          <w:color w:val="000000"/>
          <w:sz w:val="24"/>
          <w:szCs w:val="24"/>
          <w:lang w:val="hu-HU" w:eastAsia="hu-HU"/>
        </w:rPr>
        <w:drawing>
          <wp:inline distT="0" distB="0" distL="0" distR="0" wp14:anchorId="5447703A" wp14:editId="53A94B51">
            <wp:extent cx="8991600" cy="43434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767A10" w:rsidRPr="00510AD6" w:rsidRDefault="00767A10" w:rsidP="000D1A26">
      <w:pPr>
        <w:shd w:val="clear" w:color="auto" w:fill="FFFFFF"/>
        <w:spacing w:after="150" w:line="240" w:lineRule="auto"/>
        <w:rPr>
          <w:rFonts w:ascii="Times New Roman" w:eastAsia="Times New Roman" w:hAnsi="Times New Roman" w:cs="Times New Roman"/>
          <w:b/>
          <w:bCs/>
          <w:color w:val="000000"/>
          <w:sz w:val="24"/>
          <w:szCs w:val="24"/>
          <w:lang w:val="en-GB" w:eastAsia="sk-SK"/>
        </w:rPr>
      </w:pPr>
    </w:p>
    <w:p w:rsidR="004C33D4" w:rsidRPr="00510AD6" w:rsidRDefault="004C33D4" w:rsidP="000D1A26">
      <w:pPr>
        <w:shd w:val="clear" w:color="auto" w:fill="FFFFFF"/>
        <w:spacing w:after="150" w:line="240" w:lineRule="auto"/>
        <w:rPr>
          <w:rFonts w:ascii="Times New Roman" w:eastAsia="Times New Roman" w:hAnsi="Times New Roman" w:cs="Times New Roman"/>
          <w:color w:val="000000"/>
          <w:sz w:val="24"/>
          <w:szCs w:val="24"/>
          <w:lang w:val="en-GB" w:eastAsia="sk-SK"/>
        </w:rPr>
      </w:pPr>
    </w:p>
    <w:p w:rsidR="00767A10" w:rsidRPr="00510AD6" w:rsidRDefault="00767A10" w:rsidP="000D1A26">
      <w:pPr>
        <w:shd w:val="clear" w:color="auto" w:fill="FFFFFF"/>
        <w:spacing w:after="150" w:line="240" w:lineRule="auto"/>
        <w:rPr>
          <w:rFonts w:ascii="Times New Roman" w:eastAsia="Times New Roman" w:hAnsi="Times New Roman" w:cs="Times New Roman"/>
          <w:color w:val="000000"/>
          <w:sz w:val="24"/>
          <w:szCs w:val="24"/>
          <w:lang w:val="en-GB" w:eastAsia="sk-SK"/>
        </w:rPr>
      </w:pPr>
    </w:p>
    <w:p w:rsidR="00767A10" w:rsidRPr="00510AD6" w:rsidRDefault="00767A10" w:rsidP="000D1A26">
      <w:pPr>
        <w:shd w:val="clear" w:color="auto" w:fill="FFFFFF"/>
        <w:spacing w:after="150" w:line="240" w:lineRule="auto"/>
        <w:rPr>
          <w:rFonts w:ascii="Times New Roman" w:eastAsia="Times New Roman" w:hAnsi="Times New Roman" w:cs="Times New Roman"/>
          <w:color w:val="000000"/>
          <w:sz w:val="24"/>
          <w:szCs w:val="24"/>
          <w:lang w:val="en-GB" w:eastAsia="sk-SK"/>
        </w:rPr>
      </w:pPr>
    </w:p>
    <w:p w:rsidR="00767A10" w:rsidRPr="00510AD6" w:rsidRDefault="00767A10" w:rsidP="000D1A26">
      <w:pPr>
        <w:shd w:val="clear" w:color="auto" w:fill="FFFFFF"/>
        <w:spacing w:after="150" w:line="240" w:lineRule="auto"/>
        <w:rPr>
          <w:rFonts w:ascii="Times New Roman" w:eastAsia="Times New Roman" w:hAnsi="Times New Roman" w:cs="Times New Roman"/>
          <w:color w:val="000000"/>
          <w:sz w:val="24"/>
          <w:szCs w:val="24"/>
          <w:lang w:val="en-GB" w:eastAsia="sk-SK"/>
        </w:rPr>
      </w:pPr>
      <w:r w:rsidRPr="00510AD6">
        <w:rPr>
          <w:rFonts w:ascii="Times New Roman" w:eastAsia="Times New Roman" w:hAnsi="Times New Roman" w:cs="Times New Roman"/>
          <w:noProof/>
          <w:color w:val="000000"/>
          <w:sz w:val="24"/>
          <w:szCs w:val="24"/>
          <w:lang w:val="hu-HU" w:eastAsia="hu-HU"/>
        </w:rPr>
        <w:lastRenderedPageBreak/>
        <w:drawing>
          <wp:anchor distT="0" distB="0" distL="114300" distR="114300" simplePos="0" relativeHeight="251658240" behindDoc="0" locked="0" layoutInCell="1" allowOverlap="1" wp14:anchorId="20BB51FF" wp14:editId="4D4568DF">
            <wp:simplePos x="0" y="0"/>
            <wp:positionH relativeFrom="column">
              <wp:posOffset>-635</wp:posOffset>
            </wp:positionH>
            <wp:positionV relativeFrom="paragraph">
              <wp:posOffset>-635</wp:posOffset>
            </wp:positionV>
            <wp:extent cx="5934075" cy="4010025"/>
            <wp:effectExtent l="0" t="0" r="9525" b="9525"/>
            <wp:wrapSquare wrapText="bothSides"/>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0A7658" w:rsidRPr="00510AD6" w:rsidRDefault="000A7658" w:rsidP="000A7658">
      <w:pPr>
        <w:spacing w:after="150" w:line="240" w:lineRule="auto"/>
        <w:jc w:val="both"/>
        <w:rPr>
          <w:rFonts w:ascii="Times New Roman" w:eastAsia="Times New Roman" w:hAnsi="Times New Roman" w:cs="Times New Roman"/>
          <w:color w:val="272727"/>
          <w:sz w:val="24"/>
          <w:szCs w:val="24"/>
          <w:lang w:val="en-GB" w:eastAsia="sk-SK"/>
        </w:rPr>
      </w:pPr>
      <w:r w:rsidRPr="00510AD6">
        <w:rPr>
          <w:rFonts w:ascii="Times New Roman" w:eastAsia="Times New Roman" w:hAnsi="Times New Roman" w:cs="Times New Roman"/>
          <w:b/>
          <w:bCs/>
          <w:color w:val="272727"/>
          <w:sz w:val="24"/>
          <w:szCs w:val="24"/>
          <w:lang w:val="en-GB" w:eastAsia="sk-SK"/>
        </w:rPr>
        <w:t>Submitted projects</w:t>
      </w:r>
    </w:p>
    <w:p w:rsidR="000A7658" w:rsidRPr="00510AD6" w:rsidRDefault="000A7658" w:rsidP="000A7658">
      <w:pPr>
        <w:spacing w:after="150" w:line="240" w:lineRule="auto"/>
        <w:jc w:val="both"/>
        <w:rPr>
          <w:rFonts w:ascii="Times New Roman" w:eastAsia="Times New Roman" w:hAnsi="Times New Roman" w:cs="Times New Roman"/>
          <w:color w:val="272727"/>
          <w:sz w:val="24"/>
          <w:szCs w:val="24"/>
          <w:lang w:val="en-GB" w:eastAsia="sk-SK"/>
        </w:rPr>
      </w:pPr>
      <w:r w:rsidRPr="00510AD6">
        <w:rPr>
          <w:rFonts w:ascii="Times New Roman" w:eastAsia="Times New Roman" w:hAnsi="Times New Roman" w:cs="Times New Roman"/>
          <w:color w:val="272727"/>
          <w:sz w:val="24"/>
          <w:szCs w:val="24"/>
          <w:lang w:val="en-GB" w:eastAsia="sk-SK"/>
        </w:rPr>
        <w:t>33 projects were submitted within the 1st call for proposals. The diagram shows the number of submitted projects within each priority axis:  </w:t>
      </w:r>
    </w:p>
    <w:p w:rsidR="000D1A26" w:rsidRPr="00510AD6" w:rsidRDefault="000D1A26" w:rsidP="000D1A26">
      <w:pPr>
        <w:shd w:val="clear" w:color="auto" w:fill="FFFFFF"/>
        <w:spacing w:after="150" w:line="240" w:lineRule="auto"/>
        <w:rPr>
          <w:rFonts w:ascii="Times New Roman" w:eastAsia="Times New Roman" w:hAnsi="Times New Roman" w:cs="Times New Roman"/>
          <w:color w:val="000000"/>
          <w:sz w:val="24"/>
          <w:szCs w:val="24"/>
          <w:lang w:val="en-GB" w:eastAsia="sk-SK"/>
        </w:rPr>
      </w:pPr>
    </w:p>
    <w:p w:rsidR="000D1A26" w:rsidRPr="00510AD6" w:rsidRDefault="000D1A26"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r w:rsidRPr="00510AD6">
        <w:rPr>
          <w:rFonts w:ascii="Times New Roman" w:eastAsia="Times New Roman" w:hAnsi="Times New Roman" w:cs="Times New Roman"/>
          <w:color w:val="000000"/>
          <w:sz w:val="24"/>
          <w:szCs w:val="24"/>
          <w:lang w:val="en-GB" w:eastAsia="sk-SK"/>
        </w:rPr>
        <w:t> </w:t>
      </w: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4C584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p>
    <w:p w:rsidR="004C5848" w:rsidRPr="00510AD6" w:rsidRDefault="000A7658" w:rsidP="000D1A26">
      <w:pPr>
        <w:shd w:val="clear" w:color="auto" w:fill="FFFFFF"/>
        <w:spacing w:after="0" w:line="240" w:lineRule="auto"/>
        <w:rPr>
          <w:rFonts w:ascii="Times New Roman" w:eastAsia="Times New Roman" w:hAnsi="Times New Roman" w:cs="Times New Roman"/>
          <w:color w:val="000000"/>
          <w:sz w:val="24"/>
          <w:szCs w:val="24"/>
          <w:lang w:val="en-GB" w:eastAsia="sk-SK"/>
        </w:rPr>
      </w:pPr>
      <w:r w:rsidRPr="00510AD6">
        <w:rPr>
          <w:rFonts w:ascii="Times New Roman" w:hAnsi="Times New Roman" w:cs="Times New Roman"/>
          <w:color w:val="272727"/>
          <w:sz w:val="24"/>
          <w:szCs w:val="24"/>
          <w:shd w:val="clear" w:color="auto" w:fill="FFFFFF"/>
          <w:lang w:val="en-GB"/>
        </w:rPr>
        <w:t>The amount of the financial allocation for 1st call for proposals is 1 059 501</w:t>
      </w:r>
      <w:proofErr w:type="gramStart"/>
      <w:r w:rsidRPr="00510AD6">
        <w:rPr>
          <w:rFonts w:ascii="Times New Roman" w:hAnsi="Times New Roman" w:cs="Times New Roman"/>
          <w:color w:val="272727"/>
          <w:sz w:val="24"/>
          <w:szCs w:val="24"/>
          <w:shd w:val="clear" w:color="auto" w:fill="FFFFFF"/>
          <w:lang w:val="en-GB"/>
        </w:rPr>
        <w:t>,10</w:t>
      </w:r>
      <w:proofErr w:type="gramEnd"/>
      <w:r w:rsidRPr="00510AD6">
        <w:rPr>
          <w:rFonts w:ascii="Times New Roman" w:hAnsi="Times New Roman" w:cs="Times New Roman"/>
          <w:color w:val="272727"/>
          <w:sz w:val="24"/>
          <w:szCs w:val="24"/>
          <w:shd w:val="clear" w:color="auto" w:fill="FFFFFF"/>
          <w:lang w:val="en-GB"/>
        </w:rPr>
        <w:t xml:space="preserve"> € (EFRD). The graph shows the share of the financial allocation and the requested amount:</w:t>
      </w:r>
    </w:p>
    <w:p w:rsidR="00E562F8" w:rsidRPr="00510AD6" w:rsidRDefault="00E562F8" w:rsidP="003D6E74">
      <w:pPr>
        <w:keepNext/>
        <w:shd w:val="clear" w:color="auto" w:fill="FFFFFF"/>
        <w:spacing w:after="160" w:line="240" w:lineRule="auto"/>
        <w:jc w:val="center"/>
        <w:rPr>
          <w:rFonts w:ascii="Times New Roman" w:hAnsi="Times New Roman" w:cs="Times New Roman"/>
          <w:sz w:val="24"/>
          <w:szCs w:val="24"/>
          <w:lang w:val="en-GB"/>
        </w:rPr>
      </w:pPr>
      <w:r w:rsidRPr="00510AD6">
        <w:rPr>
          <w:rFonts w:ascii="Times New Roman" w:eastAsia="Times New Roman" w:hAnsi="Times New Roman" w:cs="Times New Roman"/>
          <w:noProof/>
          <w:color w:val="000000"/>
          <w:sz w:val="24"/>
          <w:szCs w:val="24"/>
          <w:lang w:val="hu-HU" w:eastAsia="hu-HU"/>
        </w:rPr>
        <w:lastRenderedPageBreak/>
        <w:drawing>
          <wp:inline distT="0" distB="0" distL="0" distR="0" wp14:anchorId="7AD5068E" wp14:editId="596963BB">
            <wp:extent cx="6371539" cy="3913632"/>
            <wp:effectExtent l="0" t="0" r="10795" b="1079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1A26" w:rsidRPr="00510AD6" w:rsidRDefault="000D1A26" w:rsidP="000D1A26">
      <w:pPr>
        <w:shd w:val="clear" w:color="auto" w:fill="FFFFFF"/>
        <w:spacing w:after="160" w:line="240" w:lineRule="auto"/>
        <w:jc w:val="both"/>
        <w:rPr>
          <w:rFonts w:ascii="Times New Roman" w:eastAsia="Times New Roman" w:hAnsi="Times New Roman" w:cs="Times New Roman"/>
          <w:color w:val="000000"/>
          <w:sz w:val="24"/>
          <w:szCs w:val="24"/>
          <w:lang w:val="en-GB" w:eastAsia="sk-SK"/>
        </w:rPr>
      </w:pPr>
      <w:r w:rsidRPr="00510AD6">
        <w:rPr>
          <w:rFonts w:ascii="Times New Roman" w:eastAsia="Times New Roman" w:hAnsi="Times New Roman" w:cs="Times New Roman"/>
          <w:color w:val="000000"/>
          <w:sz w:val="24"/>
          <w:szCs w:val="24"/>
          <w:lang w:val="en-GB" w:eastAsia="sk-SK"/>
        </w:rPr>
        <w:t>                                               </w:t>
      </w:r>
    </w:p>
    <w:p w:rsidR="000A7658" w:rsidRPr="00510AD6" w:rsidRDefault="000A7658" w:rsidP="000A7658">
      <w:pPr>
        <w:pStyle w:val="NormlWeb"/>
        <w:spacing w:before="0" w:beforeAutospacing="0" w:after="150" w:afterAutospacing="0"/>
        <w:jc w:val="both"/>
        <w:rPr>
          <w:color w:val="272727"/>
          <w:lang w:val="en-GB"/>
        </w:rPr>
      </w:pPr>
      <w:r w:rsidRPr="00510AD6">
        <w:rPr>
          <w:color w:val="272727"/>
          <w:lang w:val="en-GB"/>
        </w:rPr>
        <w:t>Currently the administrative assessment is being made. The qualitative assessment is followed by the administrative assessment. During the qualitative assessment the projects are evaluated by two independent assessors. Each assessor may give 100 points. The final score is made by the average of the scores given by the assessors. The final decision about the project proposals is made by the Small project fund Monitoring Committee.</w:t>
      </w:r>
    </w:p>
    <w:p w:rsidR="000A7658" w:rsidRPr="00510AD6" w:rsidRDefault="000A7658" w:rsidP="000A7658">
      <w:pPr>
        <w:pStyle w:val="NormlWeb"/>
        <w:spacing w:before="0" w:beforeAutospacing="0" w:after="150" w:afterAutospacing="0"/>
        <w:jc w:val="both"/>
        <w:rPr>
          <w:color w:val="272727"/>
          <w:lang w:val="en-GB"/>
        </w:rPr>
      </w:pPr>
      <w:r w:rsidRPr="00FA1AFB">
        <w:rPr>
          <w:color w:val="272727"/>
          <w:lang w:val="en-GB"/>
        </w:rPr>
        <w:t xml:space="preserve">Results are foreseen in the </w:t>
      </w:r>
      <w:r w:rsidR="00FA1AFB" w:rsidRPr="00FA1AFB">
        <w:rPr>
          <w:color w:val="272727"/>
          <w:lang w:val="en-GB"/>
        </w:rPr>
        <w:t>start</w:t>
      </w:r>
      <w:r w:rsidRPr="00FA1AFB">
        <w:rPr>
          <w:color w:val="272727"/>
          <w:lang w:val="en-GB"/>
        </w:rPr>
        <w:t xml:space="preserve"> of the year 2018.</w:t>
      </w:r>
      <w:r w:rsidRPr="00510AD6">
        <w:rPr>
          <w:color w:val="272727"/>
          <w:lang w:val="en-GB"/>
        </w:rPr>
        <w:t> </w:t>
      </w:r>
    </w:p>
    <w:p w:rsidR="00F1380D" w:rsidRPr="00510AD6" w:rsidRDefault="00F1380D" w:rsidP="004C33D4">
      <w:pPr>
        <w:shd w:val="clear" w:color="auto" w:fill="FFFFFF"/>
        <w:spacing w:after="0" w:line="262" w:lineRule="atLeast"/>
        <w:jc w:val="both"/>
        <w:rPr>
          <w:rFonts w:ascii="Times New Roman" w:hAnsi="Times New Roman" w:cs="Times New Roman"/>
          <w:sz w:val="24"/>
          <w:szCs w:val="24"/>
          <w:lang w:val="en-GB"/>
        </w:rPr>
      </w:pPr>
    </w:p>
    <w:sectPr w:rsidR="00F1380D" w:rsidRPr="00510AD6" w:rsidSect="00376D5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35" w:rsidRDefault="00002B35" w:rsidP="004C33D4">
      <w:pPr>
        <w:spacing w:after="0" w:line="240" w:lineRule="auto"/>
      </w:pPr>
      <w:r>
        <w:separator/>
      </w:r>
    </w:p>
  </w:endnote>
  <w:endnote w:type="continuationSeparator" w:id="0">
    <w:p w:rsidR="00002B35" w:rsidRDefault="00002B35" w:rsidP="004C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35" w:rsidRDefault="00002B35" w:rsidP="004C33D4">
      <w:pPr>
        <w:spacing w:after="0" w:line="240" w:lineRule="auto"/>
      </w:pPr>
      <w:r>
        <w:separator/>
      </w:r>
    </w:p>
  </w:footnote>
  <w:footnote w:type="continuationSeparator" w:id="0">
    <w:p w:rsidR="00002B35" w:rsidRDefault="00002B35" w:rsidP="004C3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651"/>
    <w:multiLevelType w:val="multilevel"/>
    <w:tmpl w:val="1DEA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26"/>
    <w:rsid w:val="00002B35"/>
    <w:rsid w:val="000A7658"/>
    <w:rsid w:val="000D1A26"/>
    <w:rsid w:val="000F4C9E"/>
    <w:rsid w:val="0011094A"/>
    <w:rsid w:val="00132F09"/>
    <w:rsid w:val="00376D5E"/>
    <w:rsid w:val="003D6E74"/>
    <w:rsid w:val="004834AC"/>
    <w:rsid w:val="004C33D4"/>
    <w:rsid w:val="004C5848"/>
    <w:rsid w:val="00510AD6"/>
    <w:rsid w:val="00557CA6"/>
    <w:rsid w:val="006E4316"/>
    <w:rsid w:val="006F68C3"/>
    <w:rsid w:val="00731E2E"/>
    <w:rsid w:val="0075653E"/>
    <w:rsid w:val="00767A10"/>
    <w:rsid w:val="0088575A"/>
    <w:rsid w:val="00916C3F"/>
    <w:rsid w:val="00B33704"/>
    <w:rsid w:val="00BD1876"/>
    <w:rsid w:val="00BF28FC"/>
    <w:rsid w:val="00CC2DEB"/>
    <w:rsid w:val="00E562F8"/>
    <w:rsid w:val="00F03218"/>
    <w:rsid w:val="00F1380D"/>
    <w:rsid w:val="00FA1A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F4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D1A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1A26"/>
    <w:rPr>
      <w:rFonts w:ascii="Tahoma" w:hAnsi="Tahoma" w:cs="Tahoma"/>
      <w:sz w:val="16"/>
      <w:szCs w:val="16"/>
    </w:rPr>
  </w:style>
  <w:style w:type="paragraph" w:styleId="Kpalrs">
    <w:name w:val="caption"/>
    <w:basedOn w:val="Norml"/>
    <w:next w:val="Norml"/>
    <w:uiPriority w:val="35"/>
    <w:semiHidden/>
    <w:unhideWhenUsed/>
    <w:qFormat/>
    <w:rsid w:val="00E562F8"/>
    <w:pPr>
      <w:spacing w:line="240" w:lineRule="auto"/>
    </w:pPr>
    <w:rPr>
      <w:b/>
      <w:bCs/>
      <w:color w:val="4F81BD" w:themeColor="accent1"/>
      <w:sz w:val="18"/>
      <w:szCs w:val="18"/>
    </w:rPr>
  </w:style>
  <w:style w:type="character" w:customStyle="1" w:styleId="Cmsor1Char">
    <w:name w:val="Címsor 1 Char"/>
    <w:basedOn w:val="Bekezdsalapbettpusa"/>
    <w:link w:val="Cmsor1"/>
    <w:uiPriority w:val="9"/>
    <w:rsid w:val="000F4C9E"/>
    <w:rPr>
      <w:rFonts w:ascii="Times New Roman" w:eastAsia="Times New Roman" w:hAnsi="Times New Roman" w:cs="Times New Roman"/>
      <w:b/>
      <w:bCs/>
      <w:kern w:val="36"/>
      <w:sz w:val="48"/>
      <w:szCs w:val="48"/>
      <w:lang w:eastAsia="sk-SK"/>
    </w:rPr>
  </w:style>
  <w:style w:type="paragraph" w:styleId="NormlWeb">
    <w:name w:val="Normal (Web)"/>
    <w:basedOn w:val="Norml"/>
    <w:uiPriority w:val="99"/>
    <w:semiHidden/>
    <w:unhideWhenUsed/>
    <w:rsid w:val="000F4C9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Kiemels2">
    <w:name w:val="Strong"/>
    <w:basedOn w:val="Bekezdsalapbettpusa"/>
    <w:uiPriority w:val="22"/>
    <w:qFormat/>
    <w:rsid w:val="000F4C9E"/>
    <w:rPr>
      <w:b/>
      <w:bCs/>
    </w:rPr>
  </w:style>
  <w:style w:type="paragraph" w:styleId="lfej">
    <w:name w:val="header"/>
    <w:basedOn w:val="Norml"/>
    <w:link w:val="lfejChar"/>
    <w:uiPriority w:val="99"/>
    <w:unhideWhenUsed/>
    <w:rsid w:val="004C33D4"/>
    <w:pPr>
      <w:tabs>
        <w:tab w:val="center" w:pos="4536"/>
        <w:tab w:val="right" w:pos="9072"/>
      </w:tabs>
      <w:spacing w:after="0" w:line="240" w:lineRule="auto"/>
    </w:pPr>
  </w:style>
  <w:style w:type="character" w:customStyle="1" w:styleId="lfejChar">
    <w:name w:val="Élőfej Char"/>
    <w:basedOn w:val="Bekezdsalapbettpusa"/>
    <w:link w:val="lfej"/>
    <w:uiPriority w:val="99"/>
    <w:rsid w:val="004C33D4"/>
  </w:style>
  <w:style w:type="paragraph" w:styleId="llb">
    <w:name w:val="footer"/>
    <w:basedOn w:val="Norml"/>
    <w:link w:val="llbChar"/>
    <w:uiPriority w:val="99"/>
    <w:unhideWhenUsed/>
    <w:rsid w:val="004C33D4"/>
    <w:pPr>
      <w:tabs>
        <w:tab w:val="center" w:pos="4536"/>
        <w:tab w:val="right" w:pos="9072"/>
      </w:tabs>
      <w:spacing w:after="0" w:line="240" w:lineRule="auto"/>
    </w:pPr>
  </w:style>
  <w:style w:type="character" w:customStyle="1" w:styleId="llbChar">
    <w:name w:val="Élőláb Char"/>
    <w:basedOn w:val="Bekezdsalapbettpusa"/>
    <w:link w:val="llb"/>
    <w:uiPriority w:val="99"/>
    <w:rsid w:val="004C3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F4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D1A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1A26"/>
    <w:rPr>
      <w:rFonts w:ascii="Tahoma" w:hAnsi="Tahoma" w:cs="Tahoma"/>
      <w:sz w:val="16"/>
      <w:szCs w:val="16"/>
    </w:rPr>
  </w:style>
  <w:style w:type="paragraph" w:styleId="Kpalrs">
    <w:name w:val="caption"/>
    <w:basedOn w:val="Norml"/>
    <w:next w:val="Norml"/>
    <w:uiPriority w:val="35"/>
    <w:semiHidden/>
    <w:unhideWhenUsed/>
    <w:qFormat/>
    <w:rsid w:val="00E562F8"/>
    <w:pPr>
      <w:spacing w:line="240" w:lineRule="auto"/>
    </w:pPr>
    <w:rPr>
      <w:b/>
      <w:bCs/>
      <w:color w:val="4F81BD" w:themeColor="accent1"/>
      <w:sz w:val="18"/>
      <w:szCs w:val="18"/>
    </w:rPr>
  </w:style>
  <w:style w:type="character" w:customStyle="1" w:styleId="Cmsor1Char">
    <w:name w:val="Címsor 1 Char"/>
    <w:basedOn w:val="Bekezdsalapbettpusa"/>
    <w:link w:val="Cmsor1"/>
    <w:uiPriority w:val="9"/>
    <w:rsid w:val="000F4C9E"/>
    <w:rPr>
      <w:rFonts w:ascii="Times New Roman" w:eastAsia="Times New Roman" w:hAnsi="Times New Roman" w:cs="Times New Roman"/>
      <w:b/>
      <w:bCs/>
      <w:kern w:val="36"/>
      <w:sz w:val="48"/>
      <w:szCs w:val="48"/>
      <w:lang w:eastAsia="sk-SK"/>
    </w:rPr>
  </w:style>
  <w:style w:type="paragraph" w:styleId="NormlWeb">
    <w:name w:val="Normal (Web)"/>
    <w:basedOn w:val="Norml"/>
    <w:uiPriority w:val="99"/>
    <w:semiHidden/>
    <w:unhideWhenUsed/>
    <w:rsid w:val="000F4C9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Kiemels2">
    <w:name w:val="Strong"/>
    <w:basedOn w:val="Bekezdsalapbettpusa"/>
    <w:uiPriority w:val="22"/>
    <w:qFormat/>
    <w:rsid w:val="000F4C9E"/>
    <w:rPr>
      <w:b/>
      <w:bCs/>
    </w:rPr>
  </w:style>
  <w:style w:type="paragraph" w:styleId="lfej">
    <w:name w:val="header"/>
    <w:basedOn w:val="Norml"/>
    <w:link w:val="lfejChar"/>
    <w:uiPriority w:val="99"/>
    <w:unhideWhenUsed/>
    <w:rsid w:val="004C33D4"/>
    <w:pPr>
      <w:tabs>
        <w:tab w:val="center" w:pos="4536"/>
        <w:tab w:val="right" w:pos="9072"/>
      </w:tabs>
      <w:spacing w:after="0" w:line="240" w:lineRule="auto"/>
    </w:pPr>
  </w:style>
  <w:style w:type="character" w:customStyle="1" w:styleId="lfejChar">
    <w:name w:val="Élőfej Char"/>
    <w:basedOn w:val="Bekezdsalapbettpusa"/>
    <w:link w:val="lfej"/>
    <w:uiPriority w:val="99"/>
    <w:rsid w:val="004C33D4"/>
  </w:style>
  <w:style w:type="paragraph" w:styleId="llb">
    <w:name w:val="footer"/>
    <w:basedOn w:val="Norml"/>
    <w:link w:val="llbChar"/>
    <w:uiPriority w:val="99"/>
    <w:unhideWhenUsed/>
    <w:rsid w:val="004C33D4"/>
    <w:pPr>
      <w:tabs>
        <w:tab w:val="center" w:pos="4536"/>
        <w:tab w:val="right" w:pos="9072"/>
      </w:tabs>
      <w:spacing w:after="0" w:line="240" w:lineRule="auto"/>
    </w:pPr>
  </w:style>
  <w:style w:type="character" w:customStyle="1" w:styleId="llbChar">
    <w:name w:val="Élőláb Char"/>
    <w:basedOn w:val="Bekezdsalapbettpusa"/>
    <w:link w:val="llb"/>
    <w:uiPriority w:val="99"/>
    <w:rsid w:val="004C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3782">
      <w:bodyDiv w:val="1"/>
      <w:marLeft w:val="0"/>
      <w:marRight w:val="0"/>
      <w:marTop w:val="0"/>
      <w:marBottom w:val="0"/>
      <w:divBdr>
        <w:top w:val="none" w:sz="0" w:space="0" w:color="auto"/>
        <w:left w:val="none" w:sz="0" w:space="0" w:color="auto"/>
        <w:bottom w:val="none" w:sz="0" w:space="0" w:color="auto"/>
        <w:right w:val="none" w:sz="0" w:space="0" w:color="auto"/>
      </w:divBdr>
    </w:div>
    <w:div w:id="426462030">
      <w:bodyDiv w:val="1"/>
      <w:marLeft w:val="0"/>
      <w:marRight w:val="0"/>
      <w:marTop w:val="0"/>
      <w:marBottom w:val="0"/>
      <w:divBdr>
        <w:top w:val="none" w:sz="0" w:space="0" w:color="auto"/>
        <w:left w:val="none" w:sz="0" w:space="0" w:color="auto"/>
        <w:bottom w:val="none" w:sz="0" w:space="0" w:color="auto"/>
        <w:right w:val="none" w:sz="0" w:space="0" w:color="auto"/>
      </w:divBdr>
      <w:divsChild>
        <w:div w:id="1225065868">
          <w:marLeft w:val="-225"/>
          <w:marRight w:val="-225"/>
          <w:marTop w:val="0"/>
          <w:marBottom w:val="0"/>
          <w:divBdr>
            <w:top w:val="none" w:sz="0" w:space="0" w:color="auto"/>
            <w:left w:val="none" w:sz="0" w:space="0" w:color="auto"/>
            <w:bottom w:val="none" w:sz="0" w:space="0" w:color="auto"/>
            <w:right w:val="none" w:sz="0" w:space="0" w:color="auto"/>
          </w:divBdr>
          <w:divsChild>
            <w:div w:id="1779595348">
              <w:marLeft w:val="0"/>
              <w:marRight w:val="0"/>
              <w:marTop w:val="0"/>
              <w:marBottom w:val="0"/>
              <w:divBdr>
                <w:top w:val="none" w:sz="0" w:space="0" w:color="auto"/>
                <w:left w:val="none" w:sz="0" w:space="0" w:color="auto"/>
                <w:bottom w:val="none" w:sz="0" w:space="0" w:color="auto"/>
                <w:right w:val="none" w:sz="0" w:space="0" w:color="auto"/>
              </w:divBdr>
            </w:div>
          </w:divsChild>
        </w:div>
        <w:div w:id="864489710">
          <w:marLeft w:val="-225"/>
          <w:marRight w:val="-225"/>
          <w:marTop w:val="0"/>
          <w:marBottom w:val="0"/>
          <w:divBdr>
            <w:top w:val="none" w:sz="0" w:space="0" w:color="auto"/>
            <w:left w:val="none" w:sz="0" w:space="0" w:color="auto"/>
            <w:bottom w:val="none" w:sz="0" w:space="0" w:color="auto"/>
            <w:right w:val="none" w:sz="0" w:space="0" w:color="auto"/>
          </w:divBdr>
          <w:divsChild>
            <w:div w:id="16827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3802">
      <w:bodyDiv w:val="1"/>
      <w:marLeft w:val="0"/>
      <w:marRight w:val="0"/>
      <w:marTop w:val="0"/>
      <w:marBottom w:val="0"/>
      <w:divBdr>
        <w:top w:val="none" w:sz="0" w:space="0" w:color="auto"/>
        <w:left w:val="none" w:sz="0" w:space="0" w:color="auto"/>
        <w:bottom w:val="none" w:sz="0" w:space="0" w:color="auto"/>
        <w:right w:val="none" w:sz="0" w:space="0" w:color="auto"/>
      </w:divBdr>
      <w:divsChild>
        <w:div w:id="2134055111">
          <w:marLeft w:val="-225"/>
          <w:marRight w:val="-225"/>
          <w:marTop w:val="0"/>
          <w:marBottom w:val="0"/>
          <w:divBdr>
            <w:top w:val="none" w:sz="0" w:space="0" w:color="auto"/>
            <w:left w:val="none" w:sz="0" w:space="0" w:color="auto"/>
            <w:bottom w:val="none" w:sz="0" w:space="0" w:color="auto"/>
            <w:right w:val="none" w:sz="0" w:space="0" w:color="auto"/>
          </w:divBdr>
          <w:divsChild>
            <w:div w:id="499126003">
              <w:marLeft w:val="0"/>
              <w:marRight w:val="0"/>
              <w:marTop w:val="0"/>
              <w:marBottom w:val="0"/>
              <w:divBdr>
                <w:top w:val="none" w:sz="0" w:space="0" w:color="auto"/>
                <w:left w:val="none" w:sz="0" w:space="0" w:color="auto"/>
                <w:bottom w:val="none" w:sz="0" w:space="0" w:color="auto"/>
                <w:right w:val="none" w:sz="0" w:space="0" w:color="auto"/>
              </w:divBdr>
            </w:div>
          </w:divsChild>
        </w:div>
        <w:div w:id="383211770">
          <w:marLeft w:val="-225"/>
          <w:marRight w:val="-225"/>
          <w:marTop w:val="0"/>
          <w:marBottom w:val="0"/>
          <w:divBdr>
            <w:top w:val="none" w:sz="0" w:space="0" w:color="auto"/>
            <w:left w:val="none" w:sz="0" w:space="0" w:color="auto"/>
            <w:bottom w:val="none" w:sz="0" w:space="0" w:color="auto"/>
            <w:right w:val="none" w:sz="0" w:space="0" w:color="auto"/>
          </w:divBdr>
          <w:divsChild>
            <w:div w:id="267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3200">
      <w:bodyDiv w:val="1"/>
      <w:marLeft w:val="0"/>
      <w:marRight w:val="0"/>
      <w:marTop w:val="0"/>
      <w:marBottom w:val="0"/>
      <w:divBdr>
        <w:top w:val="none" w:sz="0" w:space="0" w:color="auto"/>
        <w:left w:val="none" w:sz="0" w:space="0" w:color="auto"/>
        <w:bottom w:val="none" w:sz="0" w:space="0" w:color="auto"/>
        <w:right w:val="none" w:sz="0" w:space="0" w:color="auto"/>
      </w:divBdr>
    </w:div>
    <w:div w:id="1043364271">
      <w:bodyDiv w:val="1"/>
      <w:marLeft w:val="0"/>
      <w:marRight w:val="0"/>
      <w:marTop w:val="0"/>
      <w:marBottom w:val="0"/>
      <w:divBdr>
        <w:top w:val="none" w:sz="0" w:space="0" w:color="auto"/>
        <w:left w:val="none" w:sz="0" w:space="0" w:color="auto"/>
        <w:bottom w:val="none" w:sz="0" w:space="0" w:color="auto"/>
        <w:right w:val="none" w:sz="0" w:space="0" w:color="auto"/>
      </w:divBdr>
    </w:div>
    <w:div w:id="1700543540">
      <w:bodyDiv w:val="1"/>
      <w:marLeft w:val="0"/>
      <w:marRight w:val="0"/>
      <w:marTop w:val="0"/>
      <w:marBottom w:val="0"/>
      <w:divBdr>
        <w:top w:val="none" w:sz="0" w:space="0" w:color="auto"/>
        <w:left w:val="none" w:sz="0" w:space="0" w:color="auto"/>
        <w:bottom w:val="none" w:sz="0" w:space="0" w:color="auto"/>
        <w:right w:val="none" w:sz="0" w:space="0" w:color="auto"/>
      </w:divBdr>
    </w:div>
    <w:div w:id="1901869206">
      <w:bodyDiv w:val="1"/>
      <w:marLeft w:val="0"/>
      <w:marRight w:val="0"/>
      <w:marTop w:val="0"/>
      <w:marBottom w:val="0"/>
      <w:divBdr>
        <w:top w:val="none" w:sz="0" w:space="0" w:color="auto"/>
        <w:left w:val="none" w:sz="0" w:space="0" w:color="auto"/>
        <w:bottom w:val="none" w:sz="0" w:space="0" w:color="auto"/>
        <w:right w:val="none" w:sz="0" w:space="0" w:color="auto"/>
      </w:divBdr>
    </w:div>
    <w:div w:id="2066222494">
      <w:bodyDiv w:val="1"/>
      <w:marLeft w:val="0"/>
      <w:marRight w:val="0"/>
      <w:marTop w:val="0"/>
      <w:marBottom w:val="0"/>
      <w:divBdr>
        <w:top w:val="none" w:sz="0" w:space="0" w:color="auto"/>
        <w:left w:val="none" w:sz="0" w:space="0" w:color="auto"/>
        <w:bottom w:val="none" w:sz="0" w:space="0" w:color="auto"/>
        <w:right w:val="none" w:sz="0" w:space="0" w:color="auto"/>
      </w:divBdr>
      <w:divsChild>
        <w:div w:id="387806400">
          <w:marLeft w:val="-225"/>
          <w:marRight w:val="-225"/>
          <w:marTop w:val="0"/>
          <w:marBottom w:val="0"/>
          <w:divBdr>
            <w:top w:val="none" w:sz="0" w:space="0" w:color="auto"/>
            <w:left w:val="none" w:sz="0" w:space="0" w:color="auto"/>
            <w:bottom w:val="none" w:sz="0" w:space="0" w:color="auto"/>
            <w:right w:val="none" w:sz="0" w:space="0" w:color="auto"/>
          </w:divBdr>
          <w:divsChild>
            <w:div w:id="145170822">
              <w:marLeft w:val="0"/>
              <w:marRight w:val="0"/>
              <w:marTop w:val="0"/>
              <w:marBottom w:val="0"/>
              <w:divBdr>
                <w:top w:val="none" w:sz="0" w:space="0" w:color="auto"/>
                <w:left w:val="none" w:sz="0" w:space="0" w:color="auto"/>
                <w:bottom w:val="none" w:sz="0" w:space="0" w:color="auto"/>
                <w:right w:val="none" w:sz="0" w:space="0" w:color="auto"/>
              </w:divBdr>
            </w:div>
          </w:divsChild>
        </w:div>
        <w:div w:id="1312247076">
          <w:marLeft w:val="-225"/>
          <w:marRight w:val="-225"/>
          <w:marTop w:val="0"/>
          <w:marBottom w:val="0"/>
          <w:divBdr>
            <w:top w:val="none" w:sz="0" w:space="0" w:color="auto"/>
            <w:left w:val="none" w:sz="0" w:space="0" w:color="auto"/>
            <w:bottom w:val="none" w:sz="0" w:space="0" w:color="auto"/>
            <w:right w:val="none" w:sz="0" w:space="0" w:color="auto"/>
          </w:divBdr>
          <w:divsChild>
            <w:div w:id="3107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munkalap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munkalap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munkalap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a:t>Number</a:t>
            </a:r>
            <a:r>
              <a:rPr lang="sk-SK" baseline="0"/>
              <a:t> of participants</a:t>
            </a:r>
            <a:endParaRPr lang="en-US"/>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3397122308068293E-2"/>
          <c:y val="0.13462880611426165"/>
          <c:w val="0.89968232844133922"/>
          <c:h val="0.72631525981532097"/>
        </c:manualLayout>
      </c:layout>
      <c:bar3DChart>
        <c:barDir val="col"/>
        <c:grouping val="stacked"/>
        <c:varyColors val="0"/>
        <c:ser>
          <c:idx val="0"/>
          <c:order val="0"/>
          <c:tx>
            <c:strRef>
              <c:f>Hárok1!$B$1</c:f>
              <c:strCache>
                <c:ptCount val="1"/>
                <c:pt idx="0">
                  <c:v>Rad 1</c:v>
                </c:pt>
              </c:strCache>
            </c:strRef>
          </c:tx>
          <c:invertIfNegative val="0"/>
          <c:dLbls>
            <c:dLbl>
              <c:idx val="0"/>
              <c:layout>
                <c:manualLayout>
                  <c:x val="1.4124293785310734E-2"/>
                  <c:y val="-0.31871345029239767"/>
                </c:manualLayout>
              </c:layout>
              <c:showLegendKey val="0"/>
              <c:showVal val="1"/>
              <c:showCatName val="0"/>
              <c:showSerName val="0"/>
              <c:showPercent val="0"/>
              <c:showBubbleSize val="0"/>
            </c:dLbl>
            <c:dLbl>
              <c:idx val="1"/>
              <c:layout>
                <c:manualLayout>
                  <c:x val="1.271186440677961E-2"/>
                  <c:y val="-0.35964912280701755"/>
                </c:manualLayout>
              </c:layout>
              <c:showLegendKey val="0"/>
              <c:showVal val="1"/>
              <c:showCatName val="0"/>
              <c:showSerName val="0"/>
              <c:showPercent val="0"/>
              <c:showBubbleSize val="0"/>
            </c:dLbl>
            <c:dLbl>
              <c:idx val="2"/>
              <c:layout>
                <c:manualLayout>
                  <c:x val="1.1299435028248588E-2"/>
                  <c:y val="-0.21052631578947367"/>
                </c:manualLayout>
              </c:layout>
              <c:showLegendKey val="0"/>
              <c:showVal val="1"/>
              <c:showCatName val="0"/>
              <c:showSerName val="0"/>
              <c:showPercent val="0"/>
              <c:showBubbleSize val="0"/>
            </c:dLbl>
            <c:dLbl>
              <c:idx val="3"/>
              <c:layout>
                <c:manualLayout>
                  <c:x val="1.4124293785310734E-2"/>
                  <c:y val="-0.18421052631578957"/>
                </c:manualLayout>
              </c:layout>
              <c:showLegendKey val="0"/>
              <c:showVal val="1"/>
              <c:showCatName val="0"/>
              <c:showSerName val="0"/>
              <c:showPercent val="0"/>
              <c:showBubbleSize val="0"/>
            </c:dLbl>
            <c:dLbl>
              <c:idx val="4"/>
              <c:layout>
                <c:manualLayout>
                  <c:x val="9.887005649717515E-3"/>
                  <c:y val="-0.26608187134502931"/>
                </c:manualLayout>
              </c:layout>
              <c:showLegendKey val="0"/>
              <c:showVal val="1"/>
              <c:showCatName val="0"/>
              <c:showSerName val="0"/>
              <c:showPercent val="0"/>
              <c:showBubbleSize val="0"/>
            </c:dLbl>
            <c:dLbl>
              <c:idx val="5"/>
              <c:layout>
                <c:manualLayout>
                  <c:x val="1.6949152542372777E-2"/>
                  <c:y val="-0.2163742690058479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Hárok1!$A$2:$A$7</c:f>
              <c:strCache>
                <c:ptCount val="6"/>
                <c:pt idx="0">
                  <c:v>Štúrovo - 21 Sept. 2018</c:v>
                </c:pt>
                <c:pt idx="1">
                  <c:v>Komárom - 24 Sept. 2018</c:v>
                </c:pt>
                <c:pt idx="2">
                  <c:v>Tomášov - 25 Sept. 2018</c:v>
                </c:pt>
                <c:pt idx="3">
                  <c:v>Budapest - 26 Sept. 2018</c:v>
                </c:pt>
                <c:pt idx="4">
                  <c:v>Dunajská Streda - 28 Sept. 2018</c:v>
                </c:pt>
                <c:pt idx="5">
                  <c:v>Győr - 1 Oct. 2018</c:v>
                </c:pt>
              </c:strCache>
            </c:strRef>
          </c:cat>
          <c:val>
            <c:numRef>
              <c:f>Hárok1!$B$2:$B$7</c:f>
              <c:numCache>
                <c:formatCode>General</c:formatCode>
                <c:ptCount val="6"/>
                <c:pt idx="0">
                  <c:v>51</c:v>
                </c:pt>
                <c:pt idx="1">
                  <c:v>61</c:v>
                </c:pt>
                <c:pt idx="2">
                  <c:v>28</c:v>
                </c:pt>
                <c:pt idx="3">
                  <c:v>25</c:v>
                </c:pt>
                <c:pt idx="4">
                  <c:v>42</c:v>
                </c:pt>
                <c:pt idx="5">
                  <c:v>28</c:v>
                </c:pt>
              </c:numCache>
            </c:numRef>
          </c:val>
        </c:ser>
        <c:dLbls>
          <c:showLegendKey val="0"/>
          <c:showVal val="0"/>
          <c:showCatName val="0"/>
          <c:showSerName val="0"/>
          <c:showPercent val="0"/>
          <c:showBubbleSize val="0"/>
        </c:dLbls>
        <c:gapWidth val="150"/>
        <c:shape val="box"/>
        <c:axId val="264386432"/>
        <c:axId val="264387968"/>
        <c:axId val="0"/>
      </c:bar3DChart>
      <c:catAx>
        <c:axId val="264386432"/>
        <c:scaling>
          <c:orientation val="minMax"/>
        </c:scaling>
        <c:delete val="0"/>
        <c:axPos val="b"/>
        <c:majorTickMark val="out"/>
        <c:minorTickMark val="none"/>
        <c:tickLblPos val="nextTo"/>
        <c:spPr>
          <a:ln w="6350"/>
        </c:spPr>
        <c:txPr>
          <a:bodyPr rot="0" anchor="ctr" anchorCtr="0"/>
          <a:lstStyle/>
          <a:p>
            <a:pPr>
              <a:defRPr/>
            </a:pPr>
            <a:endParaRPr lang="hu-HU"/>
          </a:p>
        </c:txPr>
        <c:crossAx val="264387968"/>
        <c:crosses val="autoZero"/>
        <c:auto val="1"/>
        <c:lblAlgn val="ctr"/>
        <c:lblOffset val="100"/>
        <c:noMultiLvlLbl val="0"/>
      </c:catAx>
      <c:valAx>
        <c:axId val="264387968"/>
        <c:scaling>
          <c:orientation val="minMax"/>
        </c:scaling>
        <c:delete val="1"/>
        <c:axPos val="l"/>
        <c:majorGridlines/>
        <c:numFmt formatCode="General" sourceLinked="1"/>
        <c:majorTickMark val="out"/>
        <c:minorTickMark val="none"/>
        <c:tickLblPos val="nextTo"/>
        <c:crossAx val="2643864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sk-SK"/>
              <a:t>Submitted</a:t>
            </a:r>
            <a:r>
              <a:rPr lang="sk-SK" baseline="0"/>
              <a:t> projects within each priority axis</a:t>
            </a:r>
            <a:endParaRPr lang="en-US"/>
          </a:p>
        </c:rich>
      </c:tx>
      <c:layout>
        <c:manualLayout>
          <c:xMode val="edge"/>
          <c:yMode val="edge"/>
          <c:x val="0.19731573136572714"/>
          <c:y val="5.22894495670226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Hárok1!$B$1</c:f>
              <c:strCache>
                <c:ptCount val="1"/>
                <c:pt idx="0">
                  <c:v>Stĺpec1</c:v>
                </c:pt>
              </c:strCache>
            </c:strRef>
          </c:tx>
          <c:dLbls>
            <c:showLegendKey val="0"/>
            <c:showVal val="1"/>
            <c:showCatName val="0"/>
            <c:showSerName val="0"/>
            <c:showPercent val="0"/>
            <c:showBubbleSize val="0"/>
            <c:showLeaderLines val="1"/>
          </c:dLbls>
          <c:cat>
            <c:strRef>
              <c:f>Hárok1!$A$2:$A$3</c:f>
              <c:strCache>
                <c:ptCount val="2"/>
                <c:pt idx="0">
                  <c:v>PA 1</c:v>
                </c:pt>
                <c:pt idx="1">
                  <c:v>PA 4</c:v>
                </c:pt>
              </c:strCache>
            </c:strRef>
          </c:cat>
          <c:val>
            <c:numRef>
              <c:f>Hárok1!$B$2:$B$3</c:f>
              <c:numCache>
                <c:formatCode>General</c:formatCode>
                <c:ptCount val="2"/>
                <c:pt idx="0">
                  <c:v>23</c:v>
                </c:pt>
                <c:pt idx="1">
                  <c:v>10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91158112318268425"/>
          <c:y val="0.49478569335602646"/>
          <c:w val="7.3452400713677007E-2"/>
          <c:h val="0.1145764655081448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600"/>
              <a:t>The</a:t>
            </a:r>
            <a:r>
              <a:rPr lang="sk-SK" sz="1600" baseline="0"/>
              <a:t> share of the financial allocation and the requested amount in €</a:t>
            </a:r>
            <a:endParaRPr lang="sk-SK" sz="1600"/>
          </a:p>
        </c:rich>
      </c:tx>
      <c:layout>
        <c:manualLayout>
          <c:xMode val="edge"/>
          <c:yMode val="edge"/>
          <c:x val="0.10393344527907622"/>
          <c:y val="2.5962915596121638E-2"/>
        </c:manualLayout>
      </c:layout>
      <c:overlay val="0"/>
    </c:title>
    <c:autoTitleDeleted val="0"/>
    <c:plotArea>
      <c:layout>
        <c:manualLayout>
          <c:layoutTarget val="inner"/>
          <c:xMode val="edge"/>
          <c:yMode val="edge"/>
          <c:x val="2.1927669280530183E-2"/>
          <c:y val="0.2042969154249196"/>
          <c:w val="0.93818981567875515"/>
          <c:h val="0.6330210386852706"/>
        </c:manualLayout>
      </c:layout>
      <c:barChart>
        <c:barDir val="col"/>
        <c:grouping val="clustered"/>
        <c:varyColors val="0"/>
        <c:ser>
          <c:idx val="0"/>
          <c:order val="0"/>
          <c:tx>
            <c:strRef>
              <c:f>Hárok1!$B$1</c:f>
              <c:strCache>
                <c:ptCount val="1"/>
                <c:pt idx="0">
                  <c:v>financial allocation</c:v>
                </c:pt>
              </c:strCache>
            </c:strRef>
          </c:tx>
          <c:invertIfNegative val="0"/>
          <c:dLbls>
            <c:showLegendKey val="0"/>
            <c:showVal val="1"/>
            <c:showCatName val="0"/>
            <c:showSerName val="0"/>
            <c:showPercent val="0"/>
            <c:showBubbleSize val="0"/>
            <c:showLeaderLines val="0"/>
          </c:dLbls>
          <c:cat>
            <c:strRef>
              <c:f>Hárok1!$A$2:$A$4</c:f>
              <c:strCache>
                <c:ptCount val="2"/>
                <c:pt idx="0">
                  <c:v>PA 1</c:v>
                </c:pt>
                <c:pt idx="1">
                  <c:v>PA 4</c:v>
                </c:pt>
              </c:strCache>
            </c:strRef>
          </c:cat>
          <c:val>
            <c:numRef>
              <c:f>Hárok1!$B$2:$B$4</c:f>
              <c:numCache>
                <c:formatCode>#,##0.00</c:formatCode>
                <c:ptCount val="3"/>
                <c:pt idx="0">
                  <c:v>264875.3</c:v>
                </c:pt>
                <c:pt idx="1">
                  <c:v>794625.8</c:v>
                </c:pt>
              </c:numCache>
            </c:numRef>
          </c:val>
        </c:ser>
        <c:ser>
          <c:idx val="1"/>
          <c:order val="1"/>
          <c:tx>
            <c:strRef>
              <c:f>Hárok1!$C$1</c:f>
              <c:strCache>
                <c:ptCount val="1"/>
                <c:pt idx="0">
                  <c:v>requested amount</c:v>
                </c:pt>
              </c:strCache>
            </c:strRef>
          </c:tx>
          <c:invertIfNegative val="0"/>
          <c:dLbls>
            <c:showLegendKey val="0"/>
            <c:showVal val="1"/>
            <c:showCatName val="0"/>
            <c:showSerName val="0"/>
            <c:showPercent val="0"/>
            <c:showBubbleSize val="0"/>
            <c:showLeaderLines val="0"/>
          </c:dLbls>
          <c:cat>
            <c:strRef>
              <c:f>Hárok1!$A$2:$A$4</c:f>
              <c:strCache>
                <c:ptCount val="2"/>
                <c:pt idx="0">
                  <c:v>PA 1</c:v>
                </c:pt>
                <c:pt idx="1">
                  <c:v>PA 4</c:v>
                </c:pt>
              </c:strCache>
            </c:strRef>
          </c:cat>
          <c:val>
            <c:numRef>
              <c:f>Hárok1!$C$2:$C$4</c:f>
              <c:numCache>
                <c:formatCode>#,##0.00</c:formatCode>
                <c:ptCount val="3"/>
                <c:pt idx="0">
                  <c:v>1008062.32</c:v>
                </c:pt>
                <c:pt idx="1">
                  <c:v>432752.19</c:v>
                </c:pt>
              </c:numCache>
            </c:numRef>
          </c:val>
        </c:ser>
        <c:ser>
          <c:idx val="2"/>
          <c:order val="2"/>
          <c:tx>
            <c:strRef>
              <c:f>Hárok1!#ODKAZ!</c:f>
              <c:strCache>
                <c:ptCount val="1"/>
                <c:pt idx="0">
                  <c:v>#REF!</c:v>
                </c:pt>
              </c:strCache>
            </c:strRef>
          </c:tx>
          <c:invertIfNegative val="0"/>
          <c:cat>
            <c:strRef>
              <c:f>Hárok1!$A$2:$A$4</c:f>
              <c:strCache>
                <c:ptCount val="2"/>
                <c:pt idx="0">
                  <c:v>PA 1</c:v>
                </c:pt>
                <c:pt idx="1">
                  <c:v>PA 4</c:v>
                </c:pt>
              </c:strCache>
            </c:strRef>
          </c:cat>
          <c:val>
            <c:numRef>
              <c:f>Hárok1!#ODKAZ!</c:f>
              <c:numCache>
                <c:formatCode>General</c:formatCode>
                <c:ptCount val="1"/>
                <c:pt idx="0">
                  <c:v>1</c:v>
                </c:pt>
              </c:numCache>
            </c:numRef>
          </c:val>
        </c:ser>
        <c:dLbls>
          <c:showLegendKey val="0"/>
          <c:showVal val="0"/>
          <c:showCatName val="0"/>
          <c:showSerName val="0"/>
          <c:showPercent val="0"/>
          <c:showBubbleSize val="0"/>
        </c:dLbls>
        <c:gapWidth val="75"/>
        <c:overlap val="-25"/>
        <c:axId val="264499584"/>
        <c:axId val="264501120"/>
      </c:barChart>
      <c:catAx>
        <c:axId val="264499584"/>
        <c:scaling>
          <c:orientation val="minMax"/>
        </c:scaling>
        <c:delete val="0"/>
        <c:axPos val="b"/>
        <c:numFmt formatCode="General" sourceLinked="1"/>
        <c:majorTickMark val="none"/>
        <c:minorTickMark val="none"/>
        <c:tickLblPos val="nextTo"/>
        <c:crossAx val="264501120"/>
        <c:crosses val="autoZero"/>
        <c:auto val="1"/>
        <c:lblAlgn val="ctr"/>
        <c:lblOffset val="100"/>
        <c:noMultiLvlLbl val="0"/>
      </c:catAx>
      <c:valAx>
        <c:axId val="264501120"/>
        <c:scaling>
          <c:orientation val="minMax"/>
        </c:scaling>
        <c:delete val="1"/>
        <c:axPos val="l"/>
        <c:majorGridlines/>
        <c:numFmt formatCode="#,##0.00" sourceLinked="1"/>
        <c:majorTickMark val="none"/>
        <c:minorTickMark val="none"/>
        <c:tickLblPos val="nextTo"/>
        <c:crossAx val="264499584"/>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277E-ADB1-4FE0-AD63-F5057FCA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201</Words>
  <Characters>1387</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Flora Monozlai</cp:lastModifiedBy>
  <cp:revision>7</cp:revision>
  <dcterms:created xsi:type="dcterms:W3CDTF">2018-11-19T15:51:00Z</dcterms:created>
  <dcterms:modified xsi:type="dcterms:W3CDTF">2018-11-19T20:25:00Z</dcterms:modified>
</cp:coreProperties>
</file>